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669" w:rsidRPr="00A7693C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 w:rsidR="00B1101F">
        <w:rPr>
          <w:rFonts w:ascii="Times New Roman" w:hAnsi="Times New Roman" w:cs="Times New Roman"/>
          <w:sz w:val="28"/>
          <w:szCs w:val="28"/>
        </w:rPr>
        <w:t>межмуниципального маршрута</w:t>
      </w:r>
      <w:r w:rsidR="00E24AF7">
        <w:rPr>
          <w:rFonts w:ascii="Times New Roman" w:hAnsi="Times New Roman" w:cs="Times New Roman"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0669">
        <w:rPr>
          <w:rFonts w:ascii="Times New Roman" w:hAnsi="Times New Roman" w:cs="Times New Roman"/>
          <w:sz w:val="28"/>
          <w:szCs w:val="28"/>
        </w:rPr>
        <w:t xml:space="preserve">редложение юридическим лицам, индивидуальным предпринимателям или участникам договора простого товарищества </w:t>
      </w: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1A1488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93C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833294">
        <w:rPr>
          <w:rFonts w:ascii="Times New Roman" w:hAnsi="Times New Roman" w:cs="Times New Roman"/>
          <w:sz w:val="28"/>
          <w:szCs w:val="28"/>
        </w:rPr>
        <w:t xml:space="preserve"> –</w:t>
      </w:r>
      <w:r w:rsidR="002B3F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3F68">
        <w:rPr>
          <w:rFonts w:ascii="Times New Roman" w:hAnsi="Times New Roman" w:cs="Times New Roman"/>
          <w:sz w:val="28"/>
          <w:szCs w:val="28"/>
        </w:rPr>
        <w:t>с.Дебесы</w:t>
      </w:r>
      <w:proofErr w:type="spellEnd"/>
      <w:r w:rsidR="002B3F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B3F68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2B3F68">
        <w:rPr>
          <w:rFonts w:ascii="Times New Roman" w:hAnsi="Times New Roman" w:cs="Times New Roman"/>
          <w:sz w:val="28"/>
          <w:szCs w:val="28"/>
        </w:rPr>
        <w:t>»</w:t>
      </w:r>
      <w:r w:rsidR="002B3F68" w:rsidRPr="008D6FCA">
        <w:rPr>
          <w:rFonts w:ascii="Times New Roman" w:hAnsi="Times New Roman" w:cs="Times New Roman"/>
          <w:sz w:val="28"/>
          <w:szCs w:val="28"/>
        </w:rPr>
        <w:t>;</w:t>
      </w:r>
    </w:p>
    <w:p w:rsidR="008D6FCA" w:rsidRPr="00E8563F" w:rsidRDefault="008D6FCA" w:rsidP="008D6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>
        <w:rPr>
          <w:rFonts w:ascii="Times New Roman" w:hAnsi="Times New Roman" w:cs="Times New Roman"/>
          <w:sz w:val="28"/>
          <w:szCs w:val="28"/>
        </w:rPr>
        <w:t>ачального остановочного пункта</w:t>
      </w:r>
      <w:r w:rsidR="00D26728" w:rsidRPr="00D26728">
        <w:rPr>
          <w:rFonts w:ascii="Times New Roman" w:hAnsi="Times New Roman" w:cs="Times New Roman"/>
          <w:sz w:val="28"/>
          <w:szCs w:val="28"/>
        </w:rPr>
        <w:t>:</w:t>
      </w:r>
      <w:r w:rsidR="000620E0">
        <w:rPr>
          <w:rFonts w:ascii="Times New Roman" w:hAnsi="Times New Roman" w:cs="Times New Roman"/>
          <w:sz w:val="28"/>
          <w:szCs w:val="28"/>
        </w:rPr>
        <w:t xml:space="preserve"> </w:t>
      </w:r>
      <w:r w:rsidR="002B3F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3F68">
        <w:rPr>
          <w:rFonts w:ascii="Times New Roman" w:hAnsi="Times New Roman" w:cs="Times New Roman"/>
          <w:sz w:val="28"/>
          <w:szCs w:val="28"/>
        </w:rPr>
        <w:t>с.Дебесы</w:t>
      </w:r>
      <w:proofErr w:type="spellEnd"/>
      <w:r w:rsidR="002B3F68">
        <w:rPr>
          <w:rFonts w:ascii="Times New Roman" w:hAnsi="Times New Roman" w:cs="Times New Roman"/>
          <w:sz w:val="28"/>
          <w:szCs w:val="28"/>
        </w:rPr>
        <w:t xml:space="preserve">, автостанция </w:t>
      </w:r>
      <w:r w:rsidR="00250B1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50B18">
        <w:rPr>
          <w:rFonts w:ascii="Times New Roman" w:hAnsi="Times New Roman" w:cs="Times New Roman"/>
          <w:sz w:val="28"/>
          <w:szCs w:val="28"/>
        </w:rPr>
        <w:t xml:space="preserve">   </w:t>
      </w:r>
      <w:r w:rsidR="002B3F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3F68">
        <w:rPr>
          <w:rFonts w:ascii="Times New Roman" w:hAnsi="Times New Roman" w:cs="Times New Roman"/>
          <w:sz w:val="28"/>
          <w:szCs w:val="28"/>
        </w:rPr>
        <w:t>ул. Андронова, 16 А</w:t>
      </w:r>
      <w:bookmarkStart w:id="0" w:name="_GoBack"/>
      <w:bookmarkEnd w:id="0"/>
      <w:r w:rsidR="00E8563F">
        <w:rPr>
          <w:rFonts w:ascii="Times New Roman" w:hAnsi="Times New Roman" w:cs="Times New Roman"/>
          <w:sz w:val="28"/>
          <w:szCs w:val="28"/>
        </w:rPr>
        <w:t>)</w:t>
      </w:r>
      <w:r w:rsidR="00E8563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6FCA" w:rsidRPr="00D26728" w:rsidRDefault="008D6FCA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</w:t>
      </w:r>
      <w:r w:rsidR="00D26728">
        <w:rPr>
          <w:rFonts w:ascii="Times New Roman" w:hAnsi="Times New Roman" w:cs="Times New Roman"/>
          <w:sz w:val="28"/>
          <w:szCs w:val="28"/>
        </w:rPr>
        <w:t>онечного остановочного пункта</w:t>
      </w:r>
      <w:r w:rsidR="00D26728" w:rsidRPr="00D26728">
        <w:rPr>
          <w:rFonts w:ascii="Times New Roman" w:hAnsi="Times New Roman" w:cs="Times New Roman"/>
          <w:sz w:val="28"/>
          <w:szCs w:val="28"/>
        </w:rPr>
        <w:t>:</w:t>
      </w:r>
      <w:r w:rsidR="002B3F68" w:rsidRPr="002B3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F68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2B3F68">
        <w:rPr>
          <w:rFonts w:ascii="Times New Roman" w:hAnsi="Times New Roman" w:cs="Times New Roman"/>
          <w:sz w:val="28"/>
          <w:szCs w:val="28"/>
        </w:rPr>
        <w:t>, Центральный автовокзал (</w:t>
      </w:r>
      <w:proofErr w:type="spellStart"/>
      <w:r w:rsidR="002B3F68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="002B3F68">
        <w:rPr>
          <w:rFonts w:ascii="Times New Roman" w:hAnsi="Times New Roman" w:cs="Times New Roman"/>
          <w:sz w:val="28"/>
          <w:szCs w:val="28"/>
        </w:rPr>
        <w:t>, 134 А)</w:t>
      </w:r>
      <w:r w:rsidR="002B3F68" w:rsidRPr="008D6FCA">
        <w:rPr>
          <w:rFonts w:ascii="Times New Roman" w:hAnsi="Times New Roman" w:cs="Times New Roman"/>
          <w:sz w:val="28"/>
          <w:szCs w:val="28"/>
        </w:rPr>
        <w:t>;</w:t>
      </w:r>
    </w:p>
    <w:p w:rsidR="002B3F68" w:rsidRDefault="00DD068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A7693C" w:rsidRPr="00B83822" w:rsidRDefault="002B3F68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Малая Чепца (поворот),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Сюрногурт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(поворот),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Бадзимошур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(поворот), </w:t>
      </w:r>
      <w:proofErr w:type="spellStart"/>
      <w:r w:rsidR="00C60668">
        <w:rPr>
          <w:rFonts w:ascii="Times New Roman" w:hAnsi="Times New Roman" w:cs="Times New Roman"/>
          <w:sz w:val="28"/>
          <w:szCs w:val="28"/>
        </w:rPr>
        <w:t>с.Зура</w:t>
      </w:r>
      <w:proofErr w:type="spellEnd"/>
      <w:r w:rsidR="00C60668">
        <w:rPr>
          <w:rFonts w:ascii="Times New Roman" w:hAnsi="Times New Roman" w:cs="Times New Roman"/>
          <w:sz w:val="28"/>
          <w:szCs w:val="28"/>
        </w:rPr>
        <w:t xml:space="preserve"> (поворот), </w:t>
      </w:r>
      <w:proofErr w:type="spellStart"/>
      <w:r w:rsidR="00C60668">
        <w:rPr>
          <w:rFonts w:ascii="Times New Roman" w:hAnsi="Times New Roman" w:cs="Times New Roman"/>
          <w:sz w:val="28"/>
          <w:szCs w:val="28"/>
        </w:rPr>
        <w:t>д.Сетпиево</w:t>
      </w:r>
      <w:proofErr w:type="spellEnd"/>
      <w:r w:rsidR="00C60668">
        <w:rPr>
          <w:rFonts w:ascii="Times New Roman" w:hAnsi="Times New Roman" w:cs="Times New Roman"/>
          <w:sz w:val="28"/>
          <w:szCs w:val="28"/>
        </w:rPr>
        <w:t xml:space="preserve"> (поворот), д. </w:t>
      </w:r>
      <w:proofErr w:type="spellStart"/>
      <w:r w:rsidR="00C60668">
        <w:rPr>
          <w:rFonts w:ascii="Times New Roman" w:hAnsi="Times New Roman" w:cs="Times New Roman"/>
          <w:sz w:val="28"/>
          <w:szCs w:val="28"/>
        </w:rPr>
        <w:t>Ильяпиево</w:t>
      </w:r>
      <w:proofErr w:type="spellEnd"/>
      <w:r w:rsidR="00C60668">
        <w:rPr>
          <w:rFonts w:ascii="Times New Roman" w:hAnsi="Times New Roman" w:cs="Times New Roman"/>
          <w:sz w:val="28"/>
          <w:szCs w:val="28"/>
        </w:rPr>
        <w:t xml:space="preserve"> (поворот), д. Среднее </w:t>
      </w:r>
      <w:proofErr w:type="spellStart"/>
      <w:r w:rsidR="00C60668">
        <w:rPr>
          <w:rFonts w:ascii="Times New Roman" w:hAnsi="Times New Roman" w:cs="Times New Roman"/>
          <w:sz w:val="28"/>
          <w:szCs w:val="28"/>
        </w:rPr>
        <w:t>Шадбегово</w:t>
      </w:r>
      <w:proofErr w:type="spellEnd"/>
      <w:r w:rsidR="00C60668">
        <w:rPr>
          <w:rFonts w:ascii="Times New Roman" w:hAnsi="Times New Roman" w:cs="Times New Roman"/>
          <w:sz w:val="28"/>
          <w:szCs w:val="28"/>
        </w:rPr>
        <w:t xml:space="preserve"> (поворот), д. </w:t>
      </w:r>
      <w:proofErr w:type="spellStart"/>
      <w:r w:rsidR="00C60668">
        <w:rPr>
          <w:rFonts w:ascii="Times New Roman" w:hAnsi="Times New Roman" w:cs="Times New Roman"/>
          <w:sz w:val="28"/>
          <w:szCs w:val="28"/>
        </w:rPr>
        <w:t>Кабачигурт</w:t>
      </w:r>
      <w:proofErr w:type="spellEnd"/>
      <w:r w:rsidR="00C6066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C60668">
        <w:rPr>
          <w:rFonts w:ascii="Times New Roman" w:hAnsi="Times New Roman" w:cs="Times New Roman"/>
          <w:sz w:val="28"/>
          <w:szCs w:val="28"/>
        </w:rPr>
        <w:t>Чемошур</w:t>
      </w:r>
      <w:proofErr w:type="spellEnd"/>
      <w:r w:rsidR="00C60668">
        <w:rPr>
          <w:rFonts w:ascii="Times New Roman" w:hAnsi="Times New Roman" w:cs="Times New Roman"/>
          <w:sz w:val="28"/>
          <w:szCs w:val="28"/>
        </w:rPr>
        <w:t xml:space="preserve">, п. Игра (автостанция), с. </w:t>
      </w:r>
      <w:proofErr w:type="spellStart"/>
      <w:proofErr w:type="gramStart"/>
      <w:r w:rsidR="00C60668">
        <w:rPr>
          <w:rFonts w:ascii="Times New Roman" w:hAnsi="Times New Roman" w:cs="Times New Roman"/>
          <w:sz w:val="28"/>
          <w:szCs w:val="28"/>
        </w:rPr>
        <w:t>Чутырь</w:t>
      </w:r>
      <w:proofErr w:type="spellEnd"/>
      <w:r w:rsidR="0071719D">
        <w:rPr>
          <w:rFonts w:ascii="Times New Roman" w:hAnsi="Times New Roman" w:cs="Times New Roman"/>
          <w:sz w:val="28"/>
          <w:szCs w:val="28"/>
        </w:rPr>
        <w:t xml:space="preserve">, </w:t>
      </w:r>
      <w:r w:rsidR="0095301C">
        <w:rPr>
          <w:rFonts w:ascii="Times New Roman" w:hAnsi="Times New Roman" w:cs="Times New Roman"/>
          <w:sz w:val="28"/>
          <w:szCs w:val="28"/>
        </w:rPr>
        <w:t xml:space="preserve"> </w:t>
      </w:r>
      <w:r w:rsidR="0071719D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71719D">
        <w:rPr>
          <w:rFonts w:ascii="Times New Roman" w:hAnsi="Times New Roman" w:cs="Times New Roman"/>
          <w:sz w:val="28"/>
          <w:szCs w:val="28"/>
        </w:rPr>
        <w:t xml:space="preserve"> Якшур-Бодья (автостанция)</w:t>
      </w:r>
      <w:r w:rsidR="00B83822" w:rsidRPr="00B83822">
        <w:rPr>
          <w:rFonts w:ascii="Times New Roman" w:hAnsi="Times New Roman" w:cs="Times New Roman"/>
          <w:sz w:val="28"/>
          <w:szCs w:val="28"/>
        </w:rPr>
        <w:t>;</w:t>
      </w:r>
    </w:p>
    <w:p w:rsidR="008B44BB" w:rsidRDefault="003B1FE8" w:rsidP="007E6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  <w:r w:rsidR="008B44BB">
        <w:rPr>
          <w:rFonts w:ascii="Times New Roman" w:hAnsi="Times New Roman" w:cs="Times New Roman"/>
          <w:sz w:val="28"/>
          <w:szCs w:val="28"/>
        </w:rPr>
        <w:t xml:space="preserve">с. Дебесы (ул. Андронова, ул. Советская, </w:t>
      </w:r>
      <w:proofErr w:type="spellStart"/>
      <w:r w:rsidR="00C07DDE">
        <w:rPr>
          <w:rFonts w:ascii="Times New Roman" w:hAnsi="Times New Roman" w:cs="Times New Roman"/>
          <w:sz w:val="28"/>
          <w:szCs w:val="28"/>
        </w:rPr>
        <w:t>ул.</w:t>
      </w:r>
      <w:r w:rsidR="00BB311A">
        <w:rPr>
          <w:rFonts w:ascii="Times New Roman" w:hAnsi="Times New Roman" w:cs="Times New Roman"/>
          <w:sz w:val="28"/>
          <w:szCs w:val="28"/>
        </w:rPr>
        <w:t>Литовская</w:t>
      </w:r>
      <w:proofErr w:type="spellEnd"/>
      <w:r w:rsidR="008B44BB">
        <w:rPr>
          <w:rFonts w:ascii="Times New Roman" w:hAnsi="Times New Roman" w:cs="Times New Roman"/>
          <w:sz w:val="28"/>
          <w:szCs w:val="28"/>
        </w:rPr>
        <w:t>)</w:t>
      </w:r>
      <w:r w:rsidR="00BB311A">
        <w:rPr>
          <w:rFonts w:ascii="Times New Roman" w:hAnsi="Times New Roman" w:cs="Times New Roman"/>
          <w:sz w:val="28"/>
          <w:szCs w:val="28"/>
        </w:rPr>
        <w:t xml:space="preserve">, автодорога М-7, п. Игра (ул. Советская), </w:t>
      </w:r>
      <w:r w:rsidR="00BB311A">
        <w:rPr>
          <w:rFonts w:ascii="Times New Roman" w:hAnsi="Times New Roman" w:cs="Times New Roman"/>
          <w:sz w:val="28"/>
          <w:szCs w:val="28"/>
        </w:rPr>
        <w:t>автодорога М-7,</w:t>
      </w:r>
      <w:r w:rsidR="00BB311A">
        <w:rPr>
          <w:rFonts w:ascii="Times New Roman" w:hAnsi="Times New Roman" w:cs="Times New Roman"/>
          <w:sz w:val="28"/>
          <w:szCs w:val="28"/>
        </w:rPr>
        <w:t xml:space="preserve"> </w:t>
      </w:r>
      <w:r w:rsidR="007E6D6B">
        <w:rPr>
          <w:rFonts w:ascii="Times New Roman" w:hAnsi="Times New Roman" w:cs="Times New Roman"/>
          <w:sz w:val="28"/>
          <w:szCs w:val="28"/>
        </w:rPr>
        <w:t>г. Ижевск (</w:t>
      </w:r>
      <w:proofErr w:type="spellStart"/>
      <w:r w:rsidR="007E6D6B">
        <w:rPr>
          <w:rFonts w:ascii="Times New Roman" w:hAnsi="Times New Roman" w:cs="Times New Roman"/>
          <w:sz w:val="28"/>
          <w:szCs w:val="28"/>
        </w:rPr>
        <w:t>ул.Песочная</w:t>
      </w:r>
      <w:proofErr w:type="spellEnd"/>
      <w:r w:rsidR="007E6D6B">
        <w:rPr>
          <w:rFonts w:ascii="Times New Roman" w:hAnsi="Times New Roman" w:cs="Times New Roman"/>
          <w:sz w:val="28"/>
          <w:szCs w:val="28"/>
        </w:rPr>
        <w:t xml:space="preserve">,            ул. Кирова, ул. Горького, </w:t>
      </w:r>
      <w:proofErr w:type="spellStart"/>
      <w:r w:rsidR="007E6D6B">
        <w:rPr>
          <w:rFonts w:ascii="Times New Roman" w:hAnsi="Times New Roman" w:cs="Times New Roman"/>
          <w:sz w:val="28"/>
          <w:szCs w:val="28"/>
        </w:rPr>
        <w:t>ул.Пастухова</w:t>
      </w:r>
      <w:proofErr w:type="spellEnd"/>
      <w:r w:rsidR="007E6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D6B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="007E6D6B">
        <w:rPr>
          <w:rFonts w:ascii="Times New Roman" w:hAnsi="Times New Roman" w:cs="Times New Roman"/>
          <w:sz w:val="28"/>
          <w:szCs w:val="28"/>
        </w:rPr>
        <w:t>).</w:t>
      </w:r>
    </w:p>
    <w:p w:rsidR="00842C14" w:rsidRDefault="00842C1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C14">
        <w:rPr>
          <w:rFonts w:ascii="Times New Roman" w:hAnsi="Times New Roman" w:cs="Times New Roman"/>
          <w:sz w:val="28"/>
          <w:szCs w:val="28"/>
        </w:rPr>
        <w:t>Протяженность маршрута ре</w:t>
      </w:r>
      <w:r w:rsidR="00EB5927">
        <w:rPr>
          <w:rFonts w:ascii="Times New Roman" w:hAnsi="Times New Roman" w:cs="Times New Roman"/>
          <w:sz w:val="28"/>
          <w:szCs w:val="28"/>
        </w:rPr>
        <w:t>гулярных перевозок</w:t>
      </w:r>
      <w:r w:rsidR="00EB5927" w:rsidRPr="00BE2F19">
        <w:rPr>
          <w:rFonts w:ascii="Times New Roman" w:hAnsi="Times New Roman" w:cs="Times New Roman"/>
          <w:sz w:val="28"/>
          <w:szCs w:val="28"/>
        </w:rPr>
        <w:t>:</w:t>
      </w:r>
      <w:r w:rsidR="000A5463">
        <w:rPr>
          <w:rFonts w:ascii="Times New Roman" w:hAnsi="Times New Roman" w:cs="Times New Roman"/>
          <w:sz w:val="28"/>
          <w:szCs w:val="28"/>
        </w:rPr>
        <w:t xml:space="preserve"> 149</w:t>
      </w:r>
      <w:r w:rsidR="00EB5927" w:rsidRPr="00EB5927">
        <w:rPr>
          <w:rFonts w:ascii="Times New Roman" w:hAnsi="Times New Roman" w:cs="Times New Roman"/>
          <w:sz w:val="28"/>
          <w:szCs w:val="28"/>
        </w:rPr>
        <w:t xml:space="preserve"> </w:t>
      </w:r>
      <w:r w:rsidR="00EB5927">
        <w:rPr>
          <w:rFonts w:ascii="Times New Roman" w:hAnsi="Times New Roman" w:cs="Times New Roman"/>
          <w:sz w:val="28"/>
          <w:szCs w:val="28"/>
        </w:rPr>
        <w:t>км</w:t>
      </w:r>
      <w:r w:rsidRPr="00842C14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C227F3" w:rsidRPr="00C227F3">
        <w:rPr>
          <w:rFonts w:ascii="Times New Roman" w:hAnsi="Times New Roman" w:cs="Times New Roman"/>
          <w:sz w:val="28"/>
          <w:szCs w:val="28"/>
        </w:rPr>
        <w:t>нерегулируемым тарифам;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Pr="00D26728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D26728" w:rsidRPr="00D26728">
        <w:rPr>
          <w:rFonts w:ascii="Times New Roman" w:hAnsi="Times New Roman" w:cs="Times New Roman"/>
          <w:sz w:val="28"/>
          <w:szCs w:val="28"/>
        </w:rPr>
        <w:t>;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31355D" w:rsidRPr="000A5463" w:rsidRDefault="00D26728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 от начального остановочного пункта</w:t>
      </w:r>
      <w:r w:rsidR="000A5463">
        <w:rPr>
          <w:rFonts w:ascii="Times New Roman" w:hAnsi="Times New Roman" w:cs="Times New Roman"/>
          <w:sz w:val="28"/>
          <w:szCs w:val="28"/>
        </w:rPr>
        <w:t>: 06:10</w:t>
      </w:r>
      <w:r w:rsidR="000A5463" w:rsidRPr="000A5463">
        <w:rPr>
          <w:rFonts w:ascii="Times New Roman" w:hAnsi="Times New Roman" w:cs="Times New Roman"/>
          <w:sz w:val="28"/>
          <w:szCs w:val="28"/>
        </w:rPr>
        <w:t>;</w:t>
      </w:r>
    </w:p>
    <w:p w:rsidR="0031355D" w:rsidRPr="0031355D" w:rsidRDefault="0031355D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5D">
        <w:rPr>
          <w:rFonts w:ascii="Times New Roman" w:hAnsi="Times New Roman" w:cs="Times New Roman"/>
          <w:sz w:val="28"/>
          <w:szCs w:val="28"/>
        </w:rPr>
        <w:t>отправ</w:t>
      </w:r>
      <w:r w:rsidR="00D26728">
        <w:rPr>
          <w:rFonts w:ascii="Times New Roman" w:hAnsi="Times New Roman" w:cs="Times New Roman"/>
          <w:sz w:val="28"/>
          <w:szCs w:val="28"/>
        </w:rPr>
        <w:t>ление от конечного остановочного пункта</w:t>
      </w:r>
      <w:r w:rsidRPr="00D26728">
        <w:rPr>
          <w:rFonts w:ascii="Times New Roman" w:hAnsi="Times New Roman" w:cs="Times New Roman"/>
          <w:sz w:val="28"/>
          <w:szCs w:val="28"/>
        </w:rPr>
        <w:t xml:space="preserve">: </w:t>
      </w:r>
      <w:r w:rsidR="000A5463">
        <w:rPr>
          <w:rFonts w:ascii="Times New Roman" w:hAnsi="Times New Roman" w:cs="Times New Roman"/>
          <w:sz w:val="28"/>
          <w:szCs w:val="28"/>
        </w:rPr>
        <w:t>16:00</w:t>
      </w:r>
      <w:r w:rsidR="007A4926">
        <w:rPr>
          <w:rFonts w:ascii="Times New Roman" w:hAnsi="Times New Roman" w:cs="Times New Roman"/>
          <w:sz w:val="28"/>
          <w:szCs w:val="28"/>
        </w:rPr>
        <w:t>.</w:t>
      </w:r>
    </w:p>
    <w:p w:rsidR="00823821" w:rsidRDefault="00823821" w:rsidP="00823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  <w:r w:rsidR="007A4926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8571BF">
        <w:rPr>
          <w:rFonts w:ascii="Times New Roman" w:hAnsi="Times New Roman" w:cs="Times New Roman"/>
          <w:sz w:val="28"/>
          <w:szCs w:val="28"/>
        </w:rPr>
        <w:t>.</w:t>
      </w:r>
    </w:p>
    <w:p w:rsidR="000A5463" w:rsidRPr="000A5463" w:rsidRDefault="000A5463" w:rsidP="00823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сообщения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423AB">
        <w:rPr>
          <w:rFonts w:ascii="Times New Roman" w:hAnsi="Times New Roman" w:cs="Times New Roman"/>
          <w:sz w:val="28"/>
          <w:szCs w:val="28"/>
        </w:rPr>
        <w:t>3 часа</w:t>
      </w:r>
      <w:r w:rsidR="004B0F34">
        <w:rPr>
          <w:rFonts w:ascii="Times New Roman" w:hAnsi="Times New Roman" w:cs="Times New Roman"/>
          <w:sz w:val="28"/>
          <w:szCs w:val="28"/>
        </w:rPr>
        <w:t>.</w:t>
      </w:r>
    </w:p>
    <w:p w:rsidR="00823821" w:rsidRDefault="00823821" w:rsidP="00D26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 xml:space="preserve">ридическое лицо, индивидуальный предприниматель или уполномоченный участник договора простого товарищества, </w:t>
      </w:r>
      <w:r w:rsidR="00D26728">
        <w:rPr>
          <w:rFonts w:ascii="Times New Roman" w:hAnsi="Times New Roman" w:cs="Times New Roman"/>
          <w:sz w:val="28"/>
          <w:szCs w:val="28"/>
        </w:rPr>
        <w:lastRenderedPageBreak/>
        <w:t>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пассажиров автомобильным транспортом, вид работ, на который выдана лицензия (регулярные перевозки пассажиров в городском и пригородном сообщении, регулярные перевозки пассажиров в междугородном сообщении);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B83822" w:rsidRDefault="003E42FB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Pr="003E22F8">
        <w:rPr>
          <w:rFonts w:ascii="Times New Roman" w:hAnsi="Times New Roman" w:cs="Times New Roman"/>
          <w:sz w:val="28"/>
          <w:szCs w:val="28"/>
        </w:rPr>
        <w:t>480-570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2F8">
        <w:rPr>
          <w:rFonts w:ascii="Times New Roman" w:hAnsi="Times New Roman" w:cs="Times New Roman"/>
          <w:sz w:val="28"/>
          <w:szCs w:val="28"/>
        </w:rPr>
        <w:t xml:space="preserve"> 480-583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9522D" w:rsidRDefault="00D9522D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D9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620E0"/>
    <w:rsid w:val="000A5463"/>
    <w:rsid w:val="000F7034"/>
    <w:rsid w:val="00192E23"/>
    <w:rsid w:val="00197710"/>
    <w:rsid w:val="001A1488"/>
    <w:rsid w:val="00250B18"/>
    <w:rsid w:val="00263D9E"/>
    <w:rsid w:val="00283044"/>
    <w:rsid w:val="002838FB"/>
    <w:rsid w:val="002B3F68"/>
    <w:rsid w:val="0031355D"/>
    <w:rsid w:val="003B1FE8"/>
    <w:rsid w:val="003E10A3"/>
    <w:rsid w:val="003E22F8"/>
    <w:rsid w:val="003E42FB"/>
    <w:rsid w:val="003F27FC"/>
    <w:rsid w:val="0042697A"/>
    <w:rsid w:val="004762ED"/>
    <w:rsid w:val="004B0F34"/>
    <w:rsid w:val="004D412F"/>
    <w:rsid w:val="005372EA"/>
    <w:rsid w:val="00547C9E"/>
    <w:rsid w:val="00612894"/>
    <w:rsid w:val="00616055"/>
    <w:rsid w:val="00640236"/>
    <w:rsid w:val="00641206"/>
    <w:rsid w:val="006423AB"/>
    <w:rsid w:val="00685FE4"/>
    <w:rsid w:val="0071320A"/>
    <w:rsid w:val="0071719D"/>
    <w:rsid w:val="007A4926"/>
    <w:rsid w:val="007E6D6B"/>
    <w:rsid w:val="007F7304"/>
    <w:rsid w:val="00823821"/>
    <w:rsid w:val="00833294"/>
    <w:rsid w:val="00842C14"/>
    <w:rsid w:val="008571BF"/>
    <w:rsid w:val="00880669"/>
    <w:rsid w:val="008967BB"/>
    <w:rsid w:val="008B44BB"/>
    <w:rsid w:val="008C35DB"/>
    <w:rsid w:val="008D6FCA"/>
    <w:rsid w:val="008E2054"/>
    <w:rsid w:val="008E272B"/>
    <w:rsid w:val="009036D2"/>
    <w:rsid w:val="009342C2"/>
    <w:rsid w:val="0095301C"/>
    <w:rsid w:val="0099457F"/>
    <w:rsid w:val="00A41B4F"/>
    <w:rsid w:val="00A7693C"/>
    <w:rsid w:val="00B1101F"/>
    <w:rsid w:val="00B4446B"/>
    <w:rsid w:val="00B83822"/>
    <w:rsid w:val="00B866E1"/>
    <w:rsid w:val="00BB311A"/>
    <w:rsid w:val="00BC1425"/>
    <w:rsid w:val="00BC14F4"/>
    <w:rsid w:val="00BD78DA"/>
    <w:rsid w:val="00BE2F19"/>
    <w:rsid w:val="00C07DDE"/>
    <w:rsid w:val="00C227F3"/>
    <w:rsid w:val="00C40467"/>
    <w:rsid w:val="00C60668"/>
    <w:rsid w:val="00D0103D"/>
    <w:rsid w:val="00D02D51"/>
    <w:rsid w:val="00D151AF"/>
    <w:rsid w:val="00D26728"/>
    <w:rsid w:val="00D92F11"/>
    <w:rsid w:val="00D9522D"/>
    <w:rsid w:val="00DA05BA"/>
    <w:rsid w:val="00DD0684"/>
    <w:rsid w:val="00E24AF7"/>
    <w:rsid w:val="00E8563F"/>
    <w:rsid w:val="00EA0018"/>
    <w:rsid w:val="00EB5927"/>
    <w:rsid w:val="00F41446"/>
    <w:rsid w:val="00F82BE6"/>
    <w:rsid w:val="00F92BC6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72</cp:revision>
  <dcterms:created xsi:type="dcterms:W3CDTF">2019-08-20T11:23:00Z</dcterms:created>
  <dcterms:modified xsi:type="dcterms:W3CDTF">2019-12-20T11:17:00Z</dcterms:modified>
</cp:coreProperties>
</file>